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1FB1D8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AE21E6">
        <w:rPr>
          <w:kern w:val="3"/>
          <w:lang w:val="en-US" w:eastAsia="ar-SA"/>
        </w:rPr>
        <w:t>16.04.2026.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0DCF8DD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AE21E6">
        <w:rPr>
          <w:b/>
          <w:bCs/>
          <w:kern w:val="3"/>
          <w:lang w:val="en-US" w:eastAsia="ar-SA"/>
        </w:rPr>
        <w:t xml:space="preserve"> E</w:t>
      </w:r>
      <w:r w:rsidR="00AE21E6">
        <w:rPr>
          <w:b/>
          <w:bCs/>
          <w:kern w:val="3"/>
          <w:lang w:val="sr-Cyrl-RS" w:eastAsia="ar-SA"/>
        </w:rPr>
        <w:t>лектро роба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74126E2" w:rsidR="00EC05A7" w:rsidRPr="00AE21E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AE21E6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11DA37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AE21E6">
        <w:rPr>
          <w:kern w:val="3"/>
          <w:lang w:val="sr-Cyrl-RS" w:eastAsia="ar-SA"/>
        </w:rPr>
        <w:t>21.04.2026.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9F7DBC6" w14:textId="73BEDBC0" w:rsidR="00AE21E6" w:rsidRPr="00A3396B" w:rsidRDefault="00AE21E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  063/116-14-04</w:t>
      </w:r>
    </w:p>
    <w:sectPr w:rsidR="00AE21E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05CF" w14:textId="77777777" w:rsidR="003F3CF5" w:rsidRDefault="003F3CF5">
      <w:r>
        <w:separator/>
      </w:r>
    </w:p>
  </w:endnote>
  <w:endnote w:type="continuationSeparator" w:id="0">
    <w:p w14:paraId="4146C1D2" w14:textId="77777777" w:rsidR="003F3CF5" w:rsidRDefault="003F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9490" w14:textId="77777777" w:rsidR="003F3CF5" w:rsidRDefault="003F3CF5">
      <w:r>
        <w:separator/>
      </w:r>
    </w:p>
  </w:footnote>
  <w:footnote w:type="continuationSeparator" w:id="0">
    <w:p w14:paraId="197BEDB5" w14:textId="77777777" w:rsidR="003F3CF5" w:rsidRDefault="003F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83023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3F3CF5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D13D2"/>
    <w:rsid w:val="00AE21E6"/>
    <w:rsid w:val="00C869B3"/>
    <w:rsid w:val="00CB64FA"/>
    <w:rsid w:val="00D409D4"/>
    <w:rsid w:val="00DA4DB6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2026-04-16T05:38:00Z</dcterms:modified>
</cp:coreProperties>
</file>